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24 129 vom 5. Mai 2025</w:t>
      </w:r>
    </w:p>
    <w:p>
      <w:r>
        <w:t>VS Kantonsgericht, 2025-05-05, DE</w:t>
      </w:r>
    </w:p>
    <w:p>
      <w:r>
        <w:rPr>
          <w:b/>
        </w:rPr>
        <w:t xml:space="preserve">Quelle: </w:t>
      </w:r>
      <w:r>
        <w:t>https://mcp.opencaselaw.ch/entscheid/vs_gerichte_S1 24 129</w:t>
      </w:r>
    </w:p>
    <w:p>
      <w:r>
        <w:t>FR: VS_GERICHTE S1 24 129 du 5 mai 2025</w:t>
      </w:r>
    </w:p>
    <w:p>
      <w:r>
        <w:t>IT: VS_GERICHTE S1 24 129 del 5 maggio 2025</w:t>
      </w:r>
    </w:p>
    <w:p>
      <w:pPr>
        <w:pStyle w:val="Heading2"/>
      </w:pPr>
      <w:r>
        <w:t>Regeste</w:t>
      </w:r>
    </w:p>
    <w:p>
      <w:r>
        <w:t>S1 24 129 URTEIL VOM 5. MAI 2025 Kantonsgericht Wallis Sozialversicherungsrechtliche Abteilung Besetzung: Michael Steiner, Präsident; Candido Prada und Dr. Thierry Schnyder, Kantonsrichter; Petra Stoffel, Gerichtsschreiberin in Sachen X _________, Beschwerdeführerin, vertreten durch Rechtsanwältin Graziella Walker Salzmann, Naters gegen KANTONALE IV-STELLE, Beschwerdegegnerin (Rentenanspruch, Status, Schadenminderungspflicht) Beschwerde gegen die Verfügung vom 1. Juli 2024</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 rungsgericht für die Behandlung von Beschwerden auf dem Gebiet des Sozialversiche- rungsrechts zuständig ist. Die Beschwerdeführerin ist als Verfügungsadressatin von der Verfügung der Beschwerdegegnerin berührt und hat ein schutzwürdiges Interesse an deren Aufhebung oder Änderung (Art. 59 ATSG). Sie ist somit zur Beschwerde legiti- miert. Auf die form- (Art. 61 lit. b ATSG) und fristgerecht (Art. 60 ATSG) eingereichte Beschwerde ist einzutreten.</w:t>
      </w:r>
    </w:p>
    <w:p>
      <w:r>
        <w:t>- 4 -</w:t>
      </w:r>
    </w:p>
    <w:p>
      <w:r>
        <w:rPr>
          <w:b/>
        </w:rPr>
        <w:t>E. 2</w:t>
      </w:r>
    </w:p>
    <w:p>
      <w:r>
        <w:t>Streitig und zu prüfen ist die Frage, ob die Beschwerdegegnerin nach umfassender Abklärung den Status der Beschwerdeführerin richtig festgesetzt und den Invaliditäts- grad korrekt ermittelt hat.</w:t>
      </w:r>
    </w:p>
    <w:p>
      <w:r>
        <w:rPr>
          <w:b/>
        </w:rPr>
        <w:t>E. 3.1</w:t>
      </w:r>
    </w:p>
    <w:p>
      <w:r>
        <w:t>Die Beschwerdeführerin macht geltend, bei der Statusbeurteilung sei die Rebarbeit unberücksichtigt geblieben. Unter Berücksichtigung derselben sei von einem Verhältnis 50% Haushalt zu 50% Erwerbstätigkeit auszugehen.</w:t>
      </w:r>
    </w:p>
    <w:p>
      <w:r>
        <w:rPr>
          <w:b/>
        </w:rPr>
        <w:t>E. 3.1.1</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 mass der Erwerbstätigkeit der versicherten Person im Gesundheitsfall zugemutet wer- den könnte, sondern in welchem Pensum sie hypothetisch erwerbstätig wäre. Für die hypothetische Annahme einer im Gesundheitsfall ausgeübten (Teil-) Erwerbstätigkeit ist der im Sozialversicherungsrecht übliche Beweisgrad der überwiegenden Wahrschein- lichkeit erforderlich. Die Beantwortung der Statusfrage erfordert zwangsläufig eine hypo- thetische Beurteilung, die auch die hypothetischen Willensentscheidungen der versi- cherten Person zu berücksichtigen hat. Diese Entscheidungen sind als innere Tatsachen wesensmässig einer direkten Beweisführung nicht zugänglich und müssen in der Regel aus äusseren Indizien erschlossen werden (BGE 144 I 28 E. 2.4; Bundesgerichtsurteil 8C_178/2021 vom 11. Mai 2021 E. 3.2 mit Hinweisen).</w:t>
      </w:r>
    </w:p>
    <w:p>
      <w:r>
        <w:rPr>
          <w:b/>
        </w:rPr>
        <w:t>E. 3.1.2</w:t>
      </w:r>
    </w:p>
    <w:p>
      <w:r>
        <w:t>Diesbezüglich ist auf die Angaben der Beschwerdeführerin anlässlich der Haus- haltsabklärung vom 25. April 2024 zu verweisen. Danach gab diese in der Rubrik 2.8 an, im Gesundheitsfalle weiterhin zu 30% als Servicefachangestellte zu arbeiten. Hinsicht- lich der Mitarbeit in der Landwirtschaft führte sie aus, ihr Ehemann habe einen Weinkel- ler. Sie habe ihrem Ehemann nie im Betrieb geholfen, dies sei schon immer alleine die Sache ihres Ehemannes gewesen. Die Söhne würden teils am Wochenende in den Re- ben mitarbeiten (S. 244). Den „Aussagen der ersten Stunde“ kommt im Allgemeinen grösseres Gewicht zu als späteren Darstellungen, die bewusst oder unbewusst von nachträglichen Überlegungen versicherungsrechtlicher oder anderer Art beeinflusst sein können (BGE 143 V 168 E. 5.2.2). Entgegen den Darlegungen der Beschwerdeführerin hat die Beschwerdegegnerin daher zu Recht auf diese ersten Angaben während der Abklärung vor Ort abgestellt. Es</w:t>
      </w:r>
    </w:p>
    <w:p>
      <w:r>
        <w:t>- 5 - ist nicht einzusehen, aus welchem Grund die Beschwerdeführerin bei dieser Abklärung falsche Angaben hätte machen sollen. Ihre Angaben zur Mitarbeit im Weinkeller erschei- nen aufgrund ihrer klaren Formulierung durchaus nachvollziehbar und zuverlässig, zu- verlässiger jedenfalls als die beschwerdeweise erhobene Behauptung, die unter Um- ständen von Überlegungen versicherungsrechtlicher Art beeinflusst sein könnte. Dass im IK-Auszug eine Tätigkeit in der Landwirtschaft erfasst wurde, vermag daran nichts zu ändern, zumal diese Einträge gestützt auf die persönlichen Meldungen bei der Steuer- behörde erfolgten. Der Status der Beschwerdeführerin als im Gesundheitsfall zu 30% Erwerbstätige und zu 70% als Hausfrau ist demzufolge zu bestätigen. Damit erübrigen sich Ausführungen zu den Vorbringen der Replik bezüglich des Valideneinkommens.</w:t>
      </w:r>
    </w:p>
    <w:p>
      <w:r>
        <w:rPr>
          <w:b/>
        </w:rPr>
        <w:t>E. 3.2</w:t>
      </w:r>
    </w:p>
    <w:p>
      <w:r>
        <w:t>Im Weiteren rügt die Beschwerdeführerin die Bemessung der Invalidität und die diesbezüglichen Feststellungen im Abklärungsbericht.</w:t>
      </w:r>
    </w:p>
    <w:p>
      <w:r>
        <w:rPr>
          <w:b/>
        </w:rPr>
        <w:t>E. 3.2.1</w:t>
      </w:r>
    </w:p>
    <w:p>
      <w:r>
        <w:t>Im Zusammenhang mit den Einschränkungen im Haushalt ist nicht die medizi- nisch-theoretische Arbeitsunfähigkeit ausschlaggebend, sondern wie sich der Gesund- heitsschaden in der nichterwerblichen Betätigung konkret auswirkt, was grundsätzlich durch die Abklärung an Ort und Stelle zu erheben ist (Bundesgerichtsurteil 9C_399/2016 vom 18. Januar 2017 E. 4.7.1). Die von einer qualifizierten Person durchgeführte Abklä- rung vor Ort (nach Massgabe des Art. 69 Abs. 2 IVV) stellt für gewöhnlich die geeignete und genügende Vorkehr zur Bestimmung der gesundheitlichen Einschränkung im Haus- halt dar.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 hen und bei psychischen Leiden (Bundesgerichtsurteil 9C_201/2011 vom 5. September 2011 E. 2 mit Hinweisen). In casu ist kein Ausnahmefall im Sinne der dargelegten Recht- sprechung gegeben. Die Beschwerdeführerin ist unstrittig in jeglicher Erwerbstätigkeit arbeitsunfähig und dadurch auch im Haushalt eingeschränkt. In diesem Sinne sind die von der Beschwerdeführerin vorgebrachten Einwände hinsichtlich einer fehlenden RAD- Stellungnahme unbeheflich. Im Übrigen kann auf die Vernehmlassung und die Replik der Beschwerdegegnerin sowie den nachgereichten RAD-Bericht verwiesen werden. Hinsichtlich des Beweiswerts der Berichterstattung der Haushaltsabklärung ist sodann wesentlich, dass sie durch eine qualifizierte Person erfolgt, die Kenntnis der örtlichen</w:t>
      </w:r>
    </w:p>
    <w:p>
      <w:r>
        <w:t>- 6 - und räumlichen Verhältnisse sowie der aus den medizinischen Diagnosen sich ergeben- den Beeinträchtigungen und Behinderungen hat. Weiter sind die Angaben der versicher- ten Person zu berücksichtigen, wobei divergierende Meinungen der Beteiligten im Be- richt aufzuzeigen sind. Der Berichtstext schliesslich muss plausibel, begründet und an- gemessen detailliert bezüglich der einzelnen Einschränkungen sein, sowie in Überein- stimmung mit den an Ort und Stelle erhobenen Angaben stehen. Das Gericht greift dies- falls in das Ermessen der Abklärungsperson nur ein, wenn klar feststellbare Fehlein- schätzungen oder Anhaltspunkte für die Unrichtigkeit der Abklärungsresultate (zum Bei- spiel infolge von Widersprüchlichkeiten) vorliegen. Das gebietet insbesondere der Um- stand, dass die fachlich kompetente Abklärungsperson näher am konkreten Sachverhalt steht als das im Beschwerdefall zuständige Gericht. Bei der Bemessung der Invalidität von im Haushalt tätigen Versicherten ist die Schaden- minderungspflicht von erheblicher Relevanz. Nach der Rechtsprechung ist dabei vom Grundsatz auszugehen, dass einem Leistungsansprecher im Rahmen der Schadenmin- derungspflicht Massnahmen zuzumuten sind, die ein vernünftiger Mensch in der glei- chen Lage ergreifen würde, wenn er keinerlei Entschädigung zu erwarten hätte. Für die im Haushalt tätigen Versicherten bedeutet dies, dass sie Verhaltensweisen zu entwi- ckeln haben, welche die Auswirkungen der Behinderung im hauswirtschaftlichen Bereich reduzieren und ihnen eine möglichst vollständige und unabhängige Erledigung der Haus- haltarbeiten ermöglichen. Kann die versicherte Person wegen ihrer Behinderung ge- 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 genommen werden, als die Aufgaben, welche nicht mehr erfüllt werden können, durch Drittpersonen gegen Entlöhnung oder durch Angehörige verrichtet werden, denen dadurch nachgewiesenermassen eine Erwerbseinbusse oder doch eine unverhältnis- mässige Belastung entsteht. Die im Rahmen der Invaliditätsbemessung bei einer Haus- 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 ten wären. Dabei darf nach der Rechtsprechung unter dem Titel der Schadenminde- rungspflicht nicht etwa die Bewältigung der Haushalttätigkeit in einzelnen Funktionen oder insgesamt auf die übrigen Familienmitglieder überwälzt werden mit der Folge, dass</w:t>
      </w:r>
    </w:p>
    <w:p>
      <w:r>
        <w:t>- 7 -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zugrundeliegen- den, in Art. 159 Abs. 2 und 3 ZGB zwischen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Versicherten nichts zu ändern. Denn wie auch im Erwerbsbereich darauf abzustellen ist, ob die verbleibende Erwerbsfähigkeit auf einem ausgeglichenen Arbeitsmarkt grundsätzlich verwertbar ist, unabhängig davon, ob eine solche Anstellung rechtlich durchsetzbar ist, ist auch in Be- zug auf den Haushaltbereich davon auszugehen, was in der sozialen Realität üblich und zumutbar ist, unabhängig davon, ob eine Mithilfe rechtlich durchsetzbar ist (Urteil des Sozialversicherungsgerichts Zürich IV.2021.00419 vom 14. April 2022 E.1.8; BGE 133 V 504 E. 4.2 mit Hinweisen).</w:t>
      </w:r>
    </w:p>
    <w:p>
      <w:r>
        <w:rPr>
          <w:b/>
        </w:rPr>
        <w:t>E. 3.2.2</w:t>
      </w:r>
    </w:p>
    <w:p>
      <w:r>
        <w:t>In casu führte die zuständige Abklärungsperson am 25. April 2024 die Haushalts- abklärung an Ort und Stelle durch. Die Beschwerdeführerin legte dar, sie könne leichte Haushaltsarbeiten mit Pausen durchführen (Rubrik 3.5, S. 245), wozu sie im Rahmen der ihr obliegenden Schadenminderungspflicht auch gehalten ist. Die grössten Ein- schränkungen der Beschwerdeführerin liegen in den Tätigkeitsbereichen alltägliche Rei- nigungsarbeiten in der Küche mit 50%, Staubsaugen, Bodenpflege, Reinigung sanitärer Anlagen mit 75%, Bettwäsche wechseln, gründliche Reinigung, ebenfalls mit 75%, Ab- fallentsorgung 50% sowie Waschen, Wäsche und Kleiderpflege 50%. In diesen belas- tenden Arbeiten wird die Beschwerdeführerin von ihrem Ehemann, ihrer Mutter und den beiden Söhnen unterstützt. Die Abklärungsperson hatte in Berücksichtigung der von der Beschwerdeführerin geklagten Leiden und Behinderungen sowie der Familien- und der Wohnverhältnisse, der technischen Einrichtungen und der örtlichen Lage eine Ein- schränkung der Beschwerdeführerin im Haushaltsbereich von insgesamt 32.84% ermit- telt (S. 69) und diese aufgrund der Schadenminderungspflicht des Ehemannes und der beiden Söhne im Alter von 17 und 19 Jahren auf 0% reduziert. Die Abklärungsperson stellte in ihrem Bericht fest, der Ehemann und die Söhne seien bei guter Gesundheit. Der Ehemann arbeite zu 100% und betreibe nebenbei einen Weinkeller. Er habe ab- wechselnd Pikettdienste in der Nacht und an den Wochenenden. Zudem sei er im Jod- lerverein und Jäger. Beide Söhne seien in der Ausbildung. Sie spielten hobbymässig Hockey, hätten 2x pro Woche Training und in den Wintermonaten Match. Beide seien im</w:t>
      </w:r>
    </w:p>
    <w:p>
      <w:r>
        <w:t>- 8 - Tambourenverein und führen Töff. Für den Ehemann wurde eine Schadenminderungs- pflicht von 8.24 Stunden pro Woche, d.h. 1.17 Stunden pro Tag und für die Söhne 6.18 bzw. 4.57 Stunden pro Woche, d.h. 0.88 bzw. 0.65 Stunden pro Tag, errechnet. Dies erscheint im Lichte der obenstehenden Ausführungen durchaus zumutbar zu sein. Der Abklärungsbericht ist schlüssig und in nachvollziehbarer Weise begründet. Es sind vorliegend keine besonderen Umstände gegeben, welche den Abklärungsbericht als mangelhaft oder ungeeignet erscheinen liessen; vielmehr entspricht dieser den an ihn gestellten Anforderungen, so dass für die Entscheidfindung darauf abgestellt werden kann.</w:t>
      </w:r>
    </w:p>
    <w:p>
      <w:r>
        <w:rPr>
          <w:b/>
        </w:rPr>
        <w:t>E. 3.3</w:t>
      </w:r>
    </w:p>
    <w:p>
      <w:r>
        <w:t>Nach dem Dargelegten erweist sich die angefochtene Verfügung als rechtens und ist die dagegen erhobene Beschwerde abzuweisen. Da sich schliesslich keine weiteren Abklärungen aufdrängen, ist auch der Subsidiärantrag abzuweisen.</w:t>
      </w:r>
    </w:p>
    <w:p>
      <w:r>
        <w:rPr>
          <w:b/>
        </w:rPr>
        <w:t>E. 4.1</w:t>
      </w:r>
    </w:p>
    <w:p>
      <w:r>
        <w:t>Das Beschwerdeverfahren bei Streitigkeiten um die Bewilligung oder die Verweige- rung von IV-Leistungen vor dem Kantonsgericht ist kostenpflichtig (Art. 69 Abs. 1bis IVG). Aufgrund des Verfahrensaufwands (reiner Urkundenprozess) werden die Gerichtskosten in casu auf Fr. 500.00 festgesetzt. Auslagen sind dem Gericht keine entstanden. Ent- sprechend dem Ausgang des Verfahrens werden die Kosten der Beschwerdeführerin auferlegt und mit dem geleisteten Kostenvorschuss verrechnet. 6.2 Da die Beschwerdeführerin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